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03EB3" w14:textId="11098457" w:rsidR="007F661A" w:rsidRPr="00044062" w:rsidRDefault="007F661A" w:rsidP="00044062">
      <w:pPr>
        <w:pStyle w:val="EX-H1"/>
        <w:spacing w:before="100" w:beforeAutospacing="1" w:after="100" w:afterAutospacing="1" w:line="240" w:lineRule="auto"/>
        <w:jc w:val="center"/>
        <w:rPr>
          <w:rFonts w:ascii="Times New Roman" w:hAnsi="Times New Roman" w:cs="Times New Roman"/>
          <w:b/>
          <w:bCs/>
          <w:sz w:val="32"/>
          <w:szCs w:val="32"/>
          <w:u w:val="single"/>
        </w:rPr>
      </w:pPr>
      <w:r w:rsidRPr="00044062">
        <w:rPr>
          <w:rFonts w:ascii="Times New Roman" w:hAnsi="Times New Roman" w:cs="Times New Roman"/>
          <w:b/>
          <w:bCs/>
          <w:sz w:val="32"/>
          <w:szCs w:val="32"/>
          <w:u w:val="single"/>
        </w:rPr>
        <w:t>Ellsworth Agreement</w:t>
      </w:r>
      <w:r w:rsidR="00875F51">
        <w:rPr>
          <w:rFonts w:ascii="Times New Roman" w:hAnsi="Times New Roman" w:cs="Times New Roman"/>
          <w:b/>
          <w:bCs/>
          <w:sz w:val="32"/>
          <w:szCs w:val="32"/>
          <w:u w:val="single"/>
        </w:rPr>
        <w:t xml:space="preserve"> Exercise</w:t>
      </w:r>
    </w:p>
    <w:p w14:paraId="781AE8F7" w14:textId="7A9D5625" w:rsidR="007F661A" w:rsidRPr="007F661A" w:rsidRDefault="007F661A" w:rsidP="00044062">
      <w:pPr>
        <w:pStyle w:val="EX"/>
        <w:spacing w:before="100" w:beforeAutospacing="1" w:after="100" w:afterAutospacing="1" w:line="240" w:lineRule="auto"/>
        <w:ind w:right="720"/>
        <w:rPr>
          <w:rFonts w:ascii="Times New Roman" w:hAnsi="Times New Roman" w:cs="Times New Roman"/>
          <w:sz w:val="24"/>
          <w:szCs w:val="24"/>
        </w:rPr>
      </w:pPr>
      <w:r w:rsidRPr="007F661A">
        <w:rPr>
          <w:rFonts w:ascii="Times New Roman" w:hAnsi="Times New Roman" w:cs="Times New Roman"/>
          <w:sz w:val="24"/>
          <w:szCs w:val="24"/>
        </w:rPr>
        <w:t>You worked on a version of this exercise in Exercise 1</w:t>
      </w:r>
      <w:r w:rsidR="00044062">
        <w:rPr>
          <w:rFonts w:ascii="Times New Roman" w:hAnsi="Times New Roman" w:cs="Times New Roman"/>
          <w:sz w:val="24"/>
          <w:szCs w:val="24"/>
        </w:rPr>
        <w:t>7A</w:t>
      </w:r>
      <w:r w:rsidRPr="007F661A">
        <w:rPr>
          <w:rFonts w:ascii="Times New Roman" w:hAnsi="Times New Roman" w:cs="Times New Roman"/>
          <w:sz w:val="24"/>
          <w:szCs w:val="24"/>
        </w:rPr>
        <w:t xml:space="preserve">. Now that you’ve learned about ambiguity and structuring a provision, it is time to work with the full provision — clarify its ambiguities and organize it to make sense conceptually. </w:t>
      </w:r>
    </w:p>
    <w:p w14:paraId="3B684D6F" w14:textId="5D7B6C5D" w:rsidR="007F661A" w:rsidRPr="007F661A" w:rsidRDefault="007F661A" w:rsidP="00044062">
      <w:pPr>
        <w:pStyle w:val="EX"/>
        <w:spacing w:before="100" w:beforeAutospacing="1" w:after="100" w:afterAutospacing="1" w:line="240" w:lineRule="auto"/>
        <w:ind w:right="720" w:firstLine="360"/>
        <w:rPr>
          <w:rFonts w:ascii="Times New Roman" w:hAnsi="Times New Roman" w:cs="Times New Roman"/>
          <w:sz w:val="24"/>
          <w:szCs w:val="24"/>
        </w:rPr>
      </w:pPr>
      <w:r w:rsidRPr="007F661A">
        <w:rPr>
          <w:rFonts w:ascii="Times New Roman" w:hAnsi="Times New Roman" w:cs="Times New Roman"/>
          <w:sz w:val="24"/>
          <w:szCs w:val="24"/>
        </w:rPr>
        <w:t>On December 15, 20</w:t>
      </w:r>
      <w:r>
        <w:rPr>
          <w:rFonts w:ascii="Times New Roman" w:hAnsi="Times New Roman" w:cs="Times New Roman"/>
          <w:sz w:val="24"/>
          <w:szCs w:val="24"/>
        </w:rPr>
        <w:t>_</w:t>
      </w:r>
      <w:r w:rsidRPr="007F661A">
        <w:rPr>
          <w:rFonts w:ascii="Times New Roman" w:hAnsi="Times New Roman" w:cs="Times New Roman"/>
          <w:sz w:val="16"/>
          <w:szCs w:val="16"/>
        </w:rPr>
        <w:t xml:space="preserve"> </w:t>
      </w:r>
      <w:r>
        <w:rPr>
          <w:rFonts w:ascii="Times New Roman" w:hAnsi="Times New Roman" w:cs="Times New Roman"/>
          <w:sz w:val="24"/>
          <w:szCs w:val="24"/>
        </w:rPr>
        <w:t>_</w:t>
      </w:r>
      <w:r w:rsidRPr="007F661A">
        <w:rPr>
          <w:rFonts w:ascii="Times New Roman" w:hAnsi="Times New Roman" w:cs="Times New Roman"/>
          <w:sz w:val="24"/>
          <w:szCs w:val="24"/>
        </w:rPr>
        <w:t>, Bertha Ellsworth (Ellsworth) was admitted to the Home for the Aged (the Home) and signed an agreement stating the terms of her stay at the Home. The agreement provided that for the first two months of her stay she would be a probationary member and that afterwards she would become a life member. On the same day, Ellsworth paid $100,000 to the Home by a check that stated: “In Payment of Life Membership for Bertha Ellsworth in the Home, as specified in the Agreement dated December 15, 20</w:t>
      </w:r>
      <w:r>
        <w:rPr>
          <w:rFonts w:ascii="Times New Roman" w:hAnsi="Times New Roman" w:cs="Times New Roman"/>
          <w:sz w:val="24"/>
          <w:szCs w:val="24"/>
        </w:rPr>
        <w:t>_</w:t>
      </w:r>
      <w:r w:rsidRPr="007F661A">
        <w:rPr>
          <w:rFonts w:ascii="Times New Roman" w:hAnsi="Times New Roman" w:cs="Times New Roman"/>
          <w:sz w:val="16"/>
          <w:szCs w:val="16"/>
        </w:rPr>
        <w:t xml:space="preserve"> </w:t>
      </w:r>
      <w:r>
        <w:rPr>
          <w:rFonts w:ascii="Times New Roman" w:hAnsi="Times New Roman" w:cs="Times New Roman"/>
          <w:sz w:val="24"/>
          <w:szCs w:val="24"/>
        </w:rPr>
        <w:t>_</w:t>
      </w:r>
      <w:r w:rsidRPr="007F661A">
        <w:rPr>
          <w:rFonts w:ascii="Times New Roman" w:hAnsi="Times New Roman" w:cs="Times New Roman"/>
          <w:sz w:val="24"/>
          <w:szCs w:val="24"/>
        </w:rPr>
        <w:t>.”</w:t>
      </w:r>
    </w:p>
    <w:p w14:paraId="2B6F5EFC" w14:textId="07B28D48" w:rsidR="007F661A" w:rsidRPr="007F661A" w:rsidRDefault="007F661A" w:rsidP="00044062">
      <w:pPr>
        <w:pStyle w:val="EX"/>
        <w:spacing w:before="100" w:beforeAutospacing="1" w:after="100" w:afterAutospacing="1" w:line="240" w:lineRule="auto"/>
        <w:ind w:right="720" w:firstLine="360"/>
        <w:rPr>
          <w:rFonts w:ascii="Times New Roman" w:hAnsi="Times New Roman" w:cs="Times New Roman"/>
          <w:sz w:val="24"/>
          <w:szCs w:val="24"/>
        </w:rPr>
      </w:pPr>
      <w:r w:rsidRPr="007F661A">
        <w:rPr>
          <w:rFonts w:ascii="Times New Roman" w:hAnsi="Times New Roman" w:cs="Times New Roman"/>
          <w:sz w:val="24"/>
          <w:szCs w:val="24"/>
        </w:rPr>
        <w:t>Ellsworth died on December 29, 20</w:t>
      </w:r>
      <w:r>
        <w:rPr>
          <w:rFonts w:ascii="Times New Roman" w:hAnsi="Times New Roman" w:cs="Times New Roman"/>
          <w:sz w:val="24"/>
          <w:szCs w:val="24"/>
        </w:rPr>
        <w:t>_</w:t>
      </w:r>
      <w:r w:rsidRPr="007F661A">
        <w:rPr>
          <w:rFonts w:ascii="Times New Roman" w:hAnsi="Times New Roman" w:cs="Times New Roman"/>
          <w:sz w:val="16"/>
          <w:szCs w:val="16"/>
        </w:rPr>
        <w:t xml:space="preserve"> </w:t>
      </w:r>
      <w:r>
        <w:rPr>
          <w:rFonts w:ascii="Times New Roman" w:hAnsi="Times New Roman" w:cs="Times New Roman"/>
          <w:sz w:val="24"/>
          <w:szCs w:val="24"/>
        </w:rPr>
        <w:t>_</w:t>
      </w:r>
      <w:r w:rsidRPr="007F661A">
        <w:rPr>
          <w:rFonts w:ascii="Times New Roman" w:hAnsi="Times New Roman" w:cs="Times New Roman"/>
          <w:sz w:val="24"/>
          <w:szCs w:val="24"/>
        </w:rPr>
        <w:t>, before her probationary period ended. The administrator of the estate wants to recover the $100,000 gift as Ellsworth never became a life member. The Home claims it is entitled to keep the money. The agreement is ambiguous. Assume that you represented Ellsworth when the contract was negotiated. How would you have drafted the following provisions to protect her?</w:t>
      </w:r>
    </w:p>
    <w:p w14:paraId="6A9BC435" w14:textId="021D5915" w:rsidR="007F661A" w:rsidRPr="007F661A" w:rsidRDefault="007F661A" w:rsidP="00044062">
      <w:pPr>
        <w:pStyle w:val="EX"/>
        <w:spacing w:before="100" w:beforeAutospacing="1" w:after="100" w:afterAutospacing="1" w:line="240" w:lineRule="auto"/>
        <w:ind w:right="720" w:firstLine="360"/>
        <w:rPr>
          <w:rFonts w:ascii="Times New Roman" w:hAnsi="Times New Roman" w:cs="Times New Roman"/>
          <w:sz w:val="24"/>
          <w:szCs w:val="24"/>
        </w:rPr>
      </w:pPr>
      <w:r w:rsidRPr="007F661A">
        <w:rPr>
          <w:rFonts w:ascii="Times New Roman" w:hAnsi="Times New Roman" w:cs="Times New Roman"/>
          <w:sz w:val="24"/>
          <w:szCs w:val="24"/>
        </w:rPr>
        <w:t xml:space="preserve">The lines of the provisions are numbered to facilitate class discussion. </w:t>
      </w:r>
    </w:p>
    <w:p w14:paraId="74C31D36"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1</w:t>
      </w:r>
      <w:r w:rsidRPr="007F661A">
        <w:rPr>
          <w:rFonts w:ascii="Times New Roman" w:hAnsi="Times New Roman" w:cs="Times New Roman"/>
          <w:sz w:val="24"/>
          <w:szCs w:val="24"/>
        </w:rPr>
        <w:tab/>
      </w:r>
      <w:r w:rsidRPr="007F661A">
        <w:rPr>
          <w:rFonts w:ascii="Times New Roman" w:hAnsi="Times New Roman" w:cs="Times New Roman"/>
          <w:sz w:val="24"/>
          <w:szCs w:val="24"/>
        </w:rPr>
        <w:tab/>
      </w:r>
      <w:r w:rsidRPr="0039398D">
        <w:rPr>
          <w:rFonts w:ascii="Times New Roman" w:hAnsi="Times New Roman" w:cs="Times New Roman"/>
          <w:b/>
          <w:bCs/>
          <w:sz w:val="24"/>
          <w:szCs w:val="24"/>
        </w:rPr>
        <w:t>1.1</w:t>
      </w:r>
      <w:r w:rsidRPr="007F661A">
        <w:rPr>
          <w:rFonts w:ascii="Times New Roman" w:hAnsi="Times New Roman" w:cs="Times New Roman"/>
          <w:sz w:val="24"/>
          <w:szCs w:val="24"/>
        </w:rPr>
        <w:t xml:space="preserve"> Ellsworth having this day given the Home, </w:t>
      </w:r>
    </w:p>
    <w:p w14:paraId="7C449966"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2</w:t>
      </w:r>
      <w:r w:rsidRPr="007F661A">
        <w:rPr>
          <w:rFonts w:ascii="Times New Roman" w:hAnsi="Times New Roman" w:cs="Times New Roman"/>
          <w:sz w:val="24"/>
          <w:szCs w:val="24"/>
        </w:rPr>
        <w:tab/>
        <w:t xml:space="preserve">without reservation, the sum of $100,000 to be used and </w:t>
      </w:r>
    </w:p>
    <w:p w14:paraId="6EBDD6C3"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3</w:t>
      </w:r>
      <w:r w:rsidRPr="007F661A">
        <w:rPr>
          <w:rFonts w:ascii="Times New Roman" w:hAnsi="Times New Roman" w:cs="Times New Roman"/>
          <w:sz w:val="24"/>
          <w:szCs w:val="24"/>
        </w:rPr>
        <w:tab/>
        <w:t xml:space="preserve">disposed of in the furtherance of its benevolence and </w:t>
      </w:r>
    </w:p>
    <w:p w14:paraId="03E4E8A9"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4</w:t>
      </w:r>
      <w:r w:rsidRPr="007F661A">
        <w:rPr>
          <w:rFonts w:ascii="Times New Roman" w:hAnsi="Times New Roman" w:cs="Times New Roman"/>
          <w:sz w:val="24"/>
          <w:szCs w:val="24"/>
        </w:rPr>
        <w:tab/>
        <w:t xml:space="preserve">charitable </w:t>
      </w:r>
      <w:proofErr w:type="gramStart"/>
      <w:r w:rsidRPr="007F661A">
        <w:rPr>
          <w:rFonts w:ascii="Times New Roman" w:hAnsi="Times New Roman" w:cs="Times New Roman"/>
          <w:sz w:val="24"/>
          <w:szCs w:val="24"/>
        </w:rPr>
        <w:t>work</w:t>
      </w:r>
      <w:proofErr w:type="gramEnd"/>
      <w:r w:rsidRPr="007F661A">
        <w:rPr>
          <w:rFonts w:ascii="Times New Roman" w:hAnsi="Times New Roman" w:cs="Times New Roman"/>
          <w:sz w:val="24"/>
          <w:szCs w:val="24"/>
        </w:rPr>
        <w:t xml:space="preserve"> as it may deem best, the Home admits </w:t>
      </w:r>
    </w:p>
    <w:p w14:paraId="7FBE4B92"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5</w:t>
      </w:r>
      <w:r w:rsidRPr="007F661A">
        <w:rPr>
          <w:rFonts w:ascii="Times New Roman" w:hAnsi="Times New Roman" w:cs="Times New Roman"/>
          <w:sz w:val="24"/>
          <w:szCs w:val="24"/>
        </w:rPr>
        <w:tab/>
        <w:t xml:space="preserve">Ellsworth into the Home as a member thereof during the </w:t>
      </w:r>
    </w:p>
    <w:p w14:paraId="42661860"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6</w:t>
      </w:r>
      <w:r w:rsidRPr="007F661A">
        <w:rPr>
          <w:rFonts w:ascii="Times New Roman" w:hAnsi="Times New Roman" w:cs="Times New Roman"/>
          <w:sz w:val="24"/>
          <w:szCs w:val="24"/>
        </w:rPr>
        <w:tab/>
        <w:t xml:space="preserve">period of her natural life. </w:t>
      </w:r>
    </w:p>
    <w:p w14:paraId="61C1E9EC"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7</w:t>
      </w:r>
      <w:r w:rsidRPr="007F661A">
        <w:rPr>
          <w:rFonts w:ascii="Times New Roman" w:hAnsi="Times New Roman" w:cs="Times New Roman"/>
          <w:sz w:val="24"/>
          <w:szCs w:val="24"/>
        </w:rPr>
        <w:tab/>
      </w:r>
      <w:r w:rsidRPr="007F661A">
        <w:rPr>
          <w:rFonts w:ascii="Times New Roman" w:hAnsi="Times New Roman" w:cs="Times New Roman"/>
          <w:sz w:val="24"/>
          <w:szCs w:val="24"/>
        </w:rPr>
        <w:tab/>
      </w:r>
      <w:r w:rsidRPr="0039398D">
        <w:rPr>
          <w:rFonts w:ascii="Times New Roman" w:hAnsi="Times New Roman" w:cs="Times New Roman"/>
          <w:b/>
          <w:bCs/>
          <w:sz w:val="24"/>
          <w:szCs w:val="24"/>
        </w:rPr>
        <w:t>1.5</w:t>
      </w:r>
      <w:r w:rsidRPr="007F661A">
        <w:rPr>
          <w:rFonts w:ascii="Times New Roman" w:hAnsi="Times New Roman" w:cs="Times New Roman"/>
          <w:sz w:val="24"/>
          <w:szCs w:val="24"/>
        </w:rPr>
        <w:t xml:space="preserve"> It is clearly understood that Ellsworth has been </w:t>
      </w:r>
    </w:p>
    <w:p w14:paraId="6737F4C6"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8</w:t>
      </w:r>
      <w:r w:rsidRPr="007F661A">
        <w:rPr>
          <w:rFonts w:ascii="Times New Roman" w:hAnsi="Times New Roman" w:cs="Times New Roman"/>
          <w:sz w:val="24"/>
          <w:szCs w:val="24"/>
        </w:rPr>
        <w:tab/>
        <w:t xml:space="preserve">received in accordance with the new regulations on a </w:t>
      </w:r>
    </w:p>
    <w:p w14:paraId="68B63B4D"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9</w:t>
      </w:r>
      <w:r w:rsidRPr="007F661A">
        <w:rPr>
          <w:rFonts w:ascii="Times New Roman" w:hAnsi="Times New Roman" w:cs="Times New Roman"/>
          <w:sz w:val="24"/>
          <w:szCs w:val="24"/>
        </w:rPr>
        <w:tab/>
        <w:t xml:space="preserve">probation period of two months in which time she has the </w:t>
      </w:r>
    </w:p>
    <w:p w14:paraId="320DDDFA"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10</w:t>
      </w:r>
      <w:r w:rsidRPr="007F661A">
        <w:rPr>
          <w:rFonts w:ascii="Times New Roman" w:hAnsi="Times New Roman" w:cs="Times New Roman"/>
          <w:sz w:val="24"/>
          <w:szCs w:val="24"/>
        </w:rPr>
        <w:tab/>
      </w:r>
      <w:proofErr w:type="gramStart"/>
      <w:r w:rsidRPr="007F661A">
        <w:rPr>
          <w:rFonts w:ascii="Times New Roman" w:hAnsi="Times New Roman" w:cs="Times New Roman"/>
          <w:sz w:val="24"/>
          <w:szCs w:val="24"/>
        </w:rPr>
        <w:t>opportunity</w:t>
      </w:r>
      <w:proofErr w:type="gramEnd"/>
      <w:r w:rsidRPr="007F661A">
        <w:rPr>
          <w:rFonts w:ascii="Times New Roman" w:hAnsi="Times New Roman" w:cs="Times New Roman"/>
          <w:sz w:val="24"/>
          <w:szCs w:val="24"/>
        </w:rPr>
        <w:t xml:space="preserve"> of finding out whether she desires to remain in </w:t>
      </w:r>
    </w:p>
    <w:p w14:paraId="590993F7"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11</w:t>
      </w:r>
      <w:r w:rsidRPr="007F661A">
        <w:rPr>
          <w:rFonts w:ascii="Times New Roman" w:hAnsi="Times New Roman" w:cs="Times New Roman"/>
          <w:sz w:val="24"/>
          <w:szCs w:val="24"/>
        </w:rPr>
        <w:tab/>
        <w:t xml:space="preserve">the Home. If it should be found advisable to discontinue her </w:t>
      </w:r>
    </w:p>
    <w:p w14:paraId="5F7E43E5" w14:textId="77777777" w:rsidR="007F661A" w:rsidRPr="007F661A" w:rsidRDefault="007F661A" w:rsidP="007F661A">
      <w:pPr>
        <w:pStyle w:val="DOC"/>
        <w:keepNext/>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lastRenderedPageBreak/>
        <w:tab/>
        <w:t>12</w:t>
      </w:r>
      <w:r w:rsidRPr="007F661A">
        <w:rPr>
          <w:rFonts w:ascii="Times New Roman" w:hAnsi="Times New Roman" w:cs="Times New Roman"/>
          <w:sz w:val="24"/>
          <w:szCs w:val="24"/>
        </w:rPr>
        <w:tab/>
      </w:r>
      <w:proofErr w:type="gramStart"/>
      <w:r w:rsidRPr="007F661A">
        <w:rPr>
          <w:rFonts w:ascii="Times New Roman" w:hAnsi="Times New Roman" w:cs="Times New Roman"/>
          <w:sz w:val="24"/>
          <w:szCs w:val="24"/>
        </w:rPr>
        <w:t>stay</w:t>
      </w:r>
      <w:proofErr w:type="gramEnd"/>
      <w:r w:rsidRPr="007F661A">
        <w:rPr>
          <w:rFonts w:ascii="Times New Roman" w:hAnsi="Times New Roman" w:cs="Times New Roman"/>
          <w:sz w:val="24"/>
          <w:szCs w:val="24"/>
        </w:rPr>
        <w:t xml:space="preserve"> in the Home, then her gift, with the exception of $2,000 </w:t>
      </w:r>
    </w:p>
    <w:p w14:paraId="09FF87E1"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13</w:t>
      </w:r>
      <w:r w:rsidRPr="007F661A">
        <w:rPr>
          <w:rFonts w:ascii="Times New Roman" w:hAnsi="Times New Roman" w:cs="Times New Roman"/>
          <w:sz w:val="24"/>
          <w:szCs w:val="24"/>
        </w:rPr>
        <w:tab/>
        <w:t xml:space="preserve">per month shall be refunded. </w:t>
      </w:r>
    </w:p>
    <w:p w14:paraId="2B0C747E" w14:textId="77777777" w:rsidR="007F661A" w:rsidRPr="007F661A" w:rsidRDefault="007F661A" w:rsidP="007F661A">
      <w:pPr>
        <w:pStyle w:val="DOC"/>
        <w:keepNext/>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14</w:t>
      </w:r>
      <w:r w:rsidRPr="007F661A">
        <w:rPr>
          <w:rFonts w:ascii="Times New Roman" w:hAnsi="Times New Roman" w:cs="Times New Roman"/>
          <w:sz w:val="24"/>
          <w:szCs w:val="24"/>
        </w:rPr>
        <w:tab/>
      </w:r>
      <w:r w:rsidRPr="007F661A">
        <w:rPr>
          <w:rFonts w:ascii="Times New Roman" w:hAnsi="Times New Roman" w:cs="Times New Roman"/>
          <w:sz w:val="24"/>
          <w:szCs w:val="24"/>
        </w:rPr>
        <w:tab/>
      </w:r>
      <w:r w:rsidRPr="0039398D">
        <w:rPr>
          <w:rFonts w:ascii="Times New Roman" w:hAnsi="Times New Roman" w:cs="Times New Roman"/>
          <w:b/>
          <w:bCs/>
          <w:sz w:val="24"/>
          <w:szCs w:val="24"/>
        </w:rPr>
        <w:t>12.1</w:t>
      </w:r>
      <w:r w:rsidRPr="007F661A">
        <w:rPr>
          <w:rFonts w:ascii="Times New Roman" w:hAnsi="Times New Roman" w:cs="Times New Roman"/>
          <w:sz w:val="24"/>
          <w:szCs w:val="24"/>
        </w:rPr>
        <w:t xml:space="preserve"> Probationary membership means a short trial </w:t>
      </w:r>
    </w:p>
    <w:p w14:paraId="17DDD0A1"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15</w:t>
      </w:r>
      <w:r w:rsidRPr="007F661A">
        <w:rPr>
          <w:rFonts w:ascii="Times New Roman" w:hAnsi="Times New Roman" w:cs="Times New Roman"/>
          <w:sz w:val="24"/>
          <w:szCs w:val="24"/>
        </w:rPr>
        <w:tab/>
        <w:t xml:space="preserve">period while the member becomes adjusted to life at the </w:t>
      </w:r>
    </w:p>
    <w:p w14:paraId="33997593"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16</w:t>
      </w:r>
      <w:r w:rsidRPr="007F661A">
        <w:rPr>
          <w:rFonts w:ascii="Times New Roman" w:hAnsi="Times New Roman" w:cs="Times New Roman"/>
          <w:sz w:val="24"/>
          <w:szCs w:val="24"/>
        </w:rPr>
        <w:tab/>
        <w:t xml:space="preserve">Home. The probationary membership shall not continue for </w:t>
      </w:r>
    </w:p>
    <w:p w14:paraId="21404E03"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17</w:t>
      </w:r>
      <w:r w:rsidRPr="007F661A">
        <w:rPr>
          <w:rFonts w:ascii="Times New Roman" w:hAnsi="Times New Roman" w:cs="Times New Roman"/>
          <w:sz w:val="24"/>
          <w:szCs w:val="24"/>
        </w:rPr>
        <w:tab/>
        <w:t xml:space="preserve">a longer period than two consecutive months. If for any </w:t>
      </w:r>
    </w:p>
    <w:p w14:paraId="3AFD991D"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18</w:t>
      </w:r>
      <w:r w:rsidRPr="007F661A">
        <w:rPr>
          <w:rFonts w:ascii="Times New Roman" w:hAnsi="Times New Roman" w:cs="Times New Roman"/>
          <w:sz w:val="24"/>
          <w:szCs w:val="24"/>
        </w:rPr>
        <w:tab/>
        <w:t xml:space="preserve">reason the trial member does not desire to remain in the </w:t>
      </w:r>
    </w:p>
    <w:p w14:paraId="2DE7C713"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19</w:t>
      </w:r>
      <w:r w:rsidRPr="007F661A">
        <w:rPr>
          <w:rFonts w:ascii="Times New Roman" w:hAnsi="Times New Roman" w:cs="Times New Roman"/>
          <w:sz w:val="24"/>
          <w:szCs w:val="24"/>
        </w:rPr>
        <w:tab/>
        <w:t xml:space="preserve">Home, she shall have the privilege of leaving. Only </w:t>
      </w:r>
    </w:p>
    <w:p w14:paraId="2FCD0011"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20</w:t>
      </w:r>
      <w:r w:rsidRPr="007F661A">
        <w:rPr>
          <w:rFonts w:ascii="Times New Roman" w:hAnsi="Times New Roman" w:cs="Times New Roman"/>
          <w:sz w:val="24"/>
          <w:szCs w:val="24"/>
        </w:rPr>
        <w:tab/>
        <w:t xml:space="preserve">members who do not have the money to pay for their life </w:t>
      </w:r>
    </w:p>
    <w:p w14:paraId="66884FAF"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21</w:t>
      </w:r>
      <w:r w:rsidRPr="007F661A">
        <w:rPr>
          <w:rFonts w:ascii="Times New Roman" w:hAnsi="Times New Roman" w:cs="Times New Roman"/>
          <w:sz w:val="24"/>
          <w:szCs w:val="24"/>
        </w:rPr>
        <w:tab/>
        <w:t xml:space="preserve">Membership shall be granted the privilege of paying by the </w:t>
      </w:r>
    </w:p>
    <w:p w14:paraId="1665DFAB" w14:textId="77777777" w:rsidR="007F661A" w:rsidRPr="007F661A" w:rsidRDefault="007F661A" w:rsidP="007F661A">
      <w:pPr>
        <w:pStyle w:val="DOC"/>
        <w:tabs>
          <w:tab w:val="clear" w:pos="1200"/>
          <w:tab w:val="decimal" w:pos="240"/>
          <w:tab w:val="left" w:pos="720"/>
          <w:tab w:val="left" w:pos="1080"/>
        </w:tabs>
        <w:spacing w:before="100" w:beforeAutospacing="1" w:after="100" w:afterAutospacing="1" w:line="240" w:lineRule="auto"/>
        <w:ind w:left="0" w:firstLine="0"/>
        <w:rPr>
          <w:rFonts w:ascii="Times New Roman" w:hAnsi="Times New Roman" w:cs="Times New Roman"/>
          <w:sz w:val="24"/>
          <w:szCs w:val="24"/>
        </w:rPr>
      </w:pPr>
      <w:r w:rsidRPr="007F661A">
        <w:rPr>
          <w:rFonts w:ascii="Times New Roman" w:hAnsi="Times New Roman" w:cs="Times New Roman"/>
          <w:sz w:val="24"/>
          <w:szCs w:val="24"/>
        </w:rPr>
        <w:tab/>
        <w:t>22</w:t>
      </w:r>
      <w:r w:rsidRPr="007F661A">
        <w:rPr>
          <w:rFonts w:ascii="Times New Roman" w:hAnsi="Times New Roman" w:cs="Times New Roman"/>
          <w:sz w:val="24"/>
          <w:szCs w:val="24"/>
        </w:rPr>
        <w:tab/>
      </w:r>
      <w:proofErr w:type="gramStart"/>
      <w:r w:rsidRPr="007F661A">
        <w:rPr>
          <w:rFonts w:ascii="Times New Roman" w:hAnsi="Times New Roman" w:cs="Times New Roman"/>
          <w:sz w:val="24"/>
          <w:szCs w:val="24"/>
        </w:rPr>
        <w:t>month</w:t>
      </w:r>
      <w:proofErr w:type="gramEnd"/>
      <w:r w:rsidRPr="007F661A">
        <w:rPr>
          <w:rFonts w:ascii="Times New Roman" w:hAnsi="Times New Roman" w:cs="Times New Roman"/>
          <w:sz w:val="24"/>
          <w:szCs w:val="24"/>
        </w:rPr>
        <w:t>.</w:t>
      </w:r>
    </w:p>
    <w:p w14:paraId="3D7BCFD5" w14:textId="77777777" w:rsidR="007F661A" w:rsidRPr="007F661A" w:rsidRDefault="007F661A" w:rsidP="007F661A">
      <w:pPr>
        <w:spacing w:before="100" w:beforeAutospacing="1" w:after="100" w:afterAutospacing="1" w:line="240" w:lineRule="auto"/>
        <w:rPr>
          <w:rFonts w:ascii="Times New Roman" w:hAnsi="Times New Roman" w:cs="Times New Roman"/>
        </w:rPr>
      </w:pPr>
    </w:p>
    <w:sectPr w:rsidR="007F661A" w:rsidRPr="007F661A" w:rsidSect="0039398D">
      <w:footerReference w:type="even" r:id="rId6"/>
      <w:foot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668FFB" w14:textId="77777777" w:rsidR="00AC57FF" w:rsidRDefault="00AC57FF" w:rsidP="0039398D">
      <w:pPr>
        <w:spacing w:after="0" w:line="240" w:lineRule="auto"/>
      </w:pPr>
      <w:r>
        <w:separator/>
      </w:r>
    </w:p>
  </w:endnote>
  <w:endnote w:type="continuationSeparator" w:id="0">
    <w:p w14:paraId="3DFF17B7" w14:textId="77777777" w:rsidR="00AC57FF" w:rsidRDefault="00AC57FF" w:rsidP="00393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yriad Pro Light">
    <w:altName w:val="Segoe UI Light"/>
    <w:panose1 w:val="020B0604020202020204"/>
    <w:charset w:val="00"/>
    <w:family w:val="swiss"/>
    <w:notTrueType/>
    <w:pitch w:val="variable"/>
    <w:sig w:usb0="20000287" w:usb1="00000001" w:usb2="00000000" w:usb3="00000000" w:csb0="0000019F" w:csb1="00000000"/>
  </w:font>
  <w:font w:name="ITC Century Std Book">
    <w:altName w:val="Calibri"/>
    <w:panose1 w:val="020B0604020202020204"/>
    <w:charset w:val="00"/>
    <w:family w:val="modern"/>
    <w:notTrueType/>
    <w:pitch w:val="variable"/>
    <w:sig w:usb0="800000AF" w:usb1="4000204A" w:usb2="00000000" w:usb3="00000000" w:csb0="00000001" w:csb1="00000000"/>
  </w:font>
  <w:font w:name="HelveticaNeueLT Std Lt">
    <w:altName w:val="Arial"/>
    <w:panose1 w:val="020B0604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72560739"/>
      <w:docPartObj>
        <w:docPartGallery w:val="Page Numbers (Bottom of Page)"/>
        <w:docPartUnique/>
      </w:docPartObj>
    </w:sdtPr>
    <w:sdtContent>
      <w:p w14:paraId="5545ED02" w14:textId="48F794A6" w:rsidR="0039398D" w:rsidRDefault="0039398D" w:rsidP="002850B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F1A76A2" w14:textId="77777777" w:rsidR="0039398D" w:rsidRDefault="003939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574468488"/>
      <w:docPartObj>
        <w:docPartGallery w:val="Page Numbers (Bottom of Page)"/>
        <w:docPartUnique/>
      </w:docPartObj>
    </w:sdtPr>
    <w:sdtContent>
      <w:p w14:paraId="77F41E70" w14:textId="141AB275" w:rsidR="0039398D" w:rsidRDefault="0039398D" w:rsidP="002850B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8B8E348" w14:textId="77777777" w:rsidR="0039398D" w:rsidRDefault="003939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C66CB8" w14:textId="77777777" w:rsidR="00AC57FF" w:rsidRDefault="00AC57FF" w:rsidP="0039398D">
      <w:pPr>
        <w:spacing w:after="0" w:line="240" w:lineRule="auto"/>
      </w:pPr>
      <w:r>
        <w:separator/>
      </w:r>
    </w:p>
  </w:footnote>
  <w:footnote w:type="continuationSeparator" w:id="0">
    <w:p w14:paraId="57CA3140" w14:textId="77777777" w:rsidR="00AC57FF" w:rsidRDefault="00AC57FF" w:rsidP="003939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61A"/>
    <w:rsid w:val="00044062"/>
    <w:rsid w:val="001658B7"/>
    <w:rsid w:val="0039398D"/>
    <w:rsid w:val="004249E1"/>
    <w:rsid w:val="00461840"/>
    <w:rsid w:val="007F661A"/>
    <w:rsid w:val="00875F51"/>
    <w:rsid w:val="00AC5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B901E2"/>
  <w15:chartTrackingRefBased/>
  <w15:docId w15:val="{0719F321-897A-4072-8EE5-046084312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66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66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661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661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661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661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661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661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661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661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F661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661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661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661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661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661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661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661A"/>
    <w:rPr>
      <w:rFonts w:eastAsiaTheme="majorEastAsia" w:cstheme="majorBidi"/>
      <w:color w:val="272727" w:themeColor="text1" w:themeTint="D8"/>
    </w:rPr>
  </w:style>
  <w:style w:type="paragraph" w:styleId="Title">
    <w:name w:val="Title"/>
    <w:basedOn w:val="Normal"/>
    <w:next w:val="Normal"/>
    <w:link w:val="TitleChar"/>
    <w:uiPriority w:val="10"/>
    <w:qFormat/>
    <w:rsid w:val="007F66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66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661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66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661A"/>
    <w:pPr>
      <w:spacing w:before="160"/>
      <w:jc w:val="center"/>
    </w:pPr>
    <w:rPr>
      <w:i/>
      <w:iCs/>
      <w:color w:val="404040" w:themeColor="text1" w:themeTint="BF"/>
    </w:rPr>
  </w:style>
  <w:style w:type="character" w:customStyle="1" w:styleId="QuoteChar">
    <w:name w:val="Quote Char"/>
    <w:basedOn w:val="DefaultParagraphFont"/>
    <w:link w:val="Quote"/>
    <w:uiPriority w:val="29"/>
    <w:rsid w:val="007F661A"/>
    <w:rPr>
      <w:i/>
      <w:iCs/>
      <w:color w:val="404040" w:themeColor="text1" w:themeTint="BF"/>
    </w:rPr>
  </w:style>
  <w:style w:type="paragraph" w:styleId="ListParagraph">
    <w:name w:val="List Paragraph"/>
    <w:basedOn w:val="Normal"/>
    <w:uiPriority w:val="34"/>
    <w:qFormat/>
    <w:rsid w:val="007F661A"/>
    <w:pPr>
      <w:ind w:left="720"/>
      <w:contextualSpacing/>
    </w:pPr>
  </w:style>
  <w:style w:type="character" w:styleId="IntenseEmphasis">
    <w:name w:val="Intense Emphasis"/>
    <w:basedOn w:val="DefaultParagraphFont"/>
    <w:uiPriority w:val="21"/>
    <w:qFormat/>
    <w:rsid w:val="007F661A"/>
    <w:rPr>
      <w:i/>
      <w:iCs/>
      <w:color w:val="0F4761" w:themeColor="accent1" w:themeShade="BF"/>
    </w:rPr>
  </w:style>
  <w:style w:type="paragraph" w:styleId="IntenseQuote">
    <w:name w:val="Intense Quote"/>
    <w:basedOn w:val="Normal"/>
    <w:next w:val="Normal"/>
    <w:link w:val="IntenseQuoteChar"/>
    <w:uiPriority w:val="30"/>
    <w:qFormat/>
    <w:rsid w:val="007F66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661A"/>
    <w:rPr>
      <w:i/>
      <w:iCs/>
      <w:color w:val="0F4761" w:themeColor="accent1" w:themeShade="BF"/>
    </w:rPr>
  </w:style>
  <w:style w:type="character" w:styleId="IntenseReference">
    <w:name w:val="Intense Reference"/>
    <w:basedOn w:val="DefaultParagraphFont"/>
    <w:uiPriority w:val="32"/>
    <w:qFormat/>
    <w:rsid w:val="007F661A"/>
    <w:rPr>
      <w:b/>
      <w:bCs/>
      <w:smallCaps/>
      <w:color w:val="0F4761" w:themeColor="accent1" w:themeShade="BF"/>
      <w:spacing w:val="5"/>
    </w:rPr>
  </w:style>
  <w:style w:type="paragraph" w:customStyle="1" w:styleId="EX-H1">
    <w:name w:val="EX-H1"/>
    <w:basedOn w:val="Normal"/>
    <w:uiPriority w:val="99"/>
    <w:rsid w:val="007F661A"/>
    <w:pPr>
      <w:keepNext/>
      <w:keepLines/>
      <w:tabs>
        <w:tab w:val="left" w:pos="360"/>
      </w:tabs>
      <w:suppressAutoHyphens/>
      <w:autoSpaceDE w:val="0"/>
      <w:autoSpaceDN w:val="0"/>
      <w:adjustRightInd w:val="0"/>
      <w:spacing w:before="260" w:after="0" w:line="260" w:lineRule="atLeast"/>
      <w:jc w:val="both"/>
      <w:textAlignment w:val="center"/>
    </w:pPr>
    <w:rPr>
      <w:rFonts w:ascii="Myriad Pro Light" w:hAnsi="Myriad Pro Light" w:cs="Myriad Pro Light"/>
      <w:color w:val="000000"/>
      <w:kern w:val="0"/>
      <w:sz w:val="19"/>
      <w:szCs w:val="19"/>
      <w14:ligatures w14:val="none"/>
    </w:rPr>
  </w:style>
  <w:style w:type="paragraph" w:customStyle="1" w:styleId="EX">
    <w:name w:val="EX"/>
    <w:basedOn w:val="Normal"/>
    <w:uiPriority w:val="99"/>
    <w:rsid w:val="007F661A"/>
    <w:pPr>
      <w:tabs>
        <w:tab w:val="left" w:pos="360"/>
      </w:tabs>
      <w:autoSpaceDE w:val="0"/>
      <w:autoSpaceDN w:val="0"/>
      <w:adjustRightInd w:val="0"/>
      <w:spacing w:after="0" w:line="260" w:lineRule="atLeast"/>
      <w:ind w:right="2040"/>
      <w:textAlignment w:val="center"/>
    </w:pPr>
    <w:rPr>
      <w:rFonts w:ascii="ITC Century Std Book" w:hAnsi="ITC Century Std Book" w:cs="ITC Century Std Book"/>
      <w:color w:val="000000"/>
      <w:kern w:val="0"/>
      <w:sz w:val="21"/>
      <w:szCs w:val="21"/>
      <w14:ligatures w14:val="none"/>
    </w:rPr>
  </w:style>
  <w:style w:type="paragraph" w:customStyle="1" w:styleId="DOC">
    <w:name w:val="DOC"/>
    <w:basedOn w:val="Normal"/>
    <w:uiPriority w:val="99"/>
    <w:rsid w:val="007F661A"/>
    <w:pPr>
      <w:tabs>
        <w:tab w:val="left" w:pos="1200"/>
      </w:tabs>
      <w:autoSpaceDE w:val="0"/>
      <w:autoSpaceDN w:val="0"/>
      <w:adjustRightInd w:val="0"/>
      <w:spacing w:after="0" w:line="280" w:lineRule="atLeast"/>
      <w:ind w:left="720" w:right="720" w:firstLine="480"/>
      <w:textAlignment w:val="center"/>
    </w:pPr>
    <w:rPr>
      <w:rFonts w:ascii="HelveticaNeueLT Std Lt" w:hAnsi="HelveticaNeueLT Std Lt" w:cs="HelveticaNeueLT Std Lt"/>
      <w:color w:val="000000"/>
      <w:kern w:val="0"/>
      <w:sz w:val="19"/>
      <w:szCs w:val="19"/>
      <w14:ligatures w14:val="none"/>
    </w:rPr>
  </w:style>
  <w:style w:type="character" w:styleId="CommentReference">
    <w:name w:val="annotation reference"/>
    <w:basedOn w:val="DefaultParagraphFont"/>
    <w:uiPriority w:val="99"/>
    <w:semiHidden/>
    <w:unhideWhenUsed/>
    <w:rsid w:val="007F661A"/>
    <w:rPr>
      <w:sz w:val="16"/>
      <w:szCs w:val="16"/>
    </w:rPr>
  </w:style>
  <w:style w:type="paragraph" w:styleId="CommentText">
    <w:name w:val="annotation text"/>
    <w:basedOn w:val="Normal"/>
    <w:link w:val="CommentTextChar"/>
    <w:uiPriority w:val="99"/>
    <w:unhideWhenUsed/>
    <w:rsid w:val="007F661A"/>
    <w:pPr>
      <w:spacing w:line="240" w:lineRule="auto"/>
    </w:pPr>
    <w:rPr>
      <w:sz w:val="20"/>
      <w:szCs w:val="20"/>
    </w:rPr>
  </w:style>
  <w:style w:type="character" w:customStyle="1" w:styleId="CommentTextChar">
    <w:name w:val="Comment Text Char"/>
    <w:basedOn w:val="DefaultParagraphFont"/>
    <w:link w:val="CommentText"/>
    <w:uiPriority w:val="99"/>
    <w:rsid w:val="007F661A"/>
    <w:rPr>
      <w:sz w:val="20"/>
      <w:szCs w:val="20"/>
    </w:rPr>
  </w:style>
  <w:style w:type="paragraph" w:styleId="CommentSubject">
    <w:name w:val="annotation subject"/>
    <w:basedOn w:val="CommentText"/>
    <w:next w:val="CommentText"/>
    <w:link w:val="CommentSubjectChar"/>
    <w:uiPriority w:val="99"/>
    <w:semiHidden/>
    <w:unhideWhenUsed/>
    <w:rsid w:val="007F661A"/>
    <w:rPr>
      <w:b/>
      <w:bCs/>
    </w:rPr>
  </w:style>
  <w:style w:type="character" w:customStyle="1" w:styleId="CommentSubjectChar">
    <w:name w:val="Comment Subject Char"/>
    <w:basedOn w:val="CommentTextChar"/>
    <w:link w:val="CommentSubject"/>
    <w:uiPriority w:val="99"/>
    <w:semiHidden/>
    <w:rsid w:val="007F661A"/>
    <w:rPr>
      <w:b/>
      <w:bCs/>
      <w:sz w:val="20"/>
      <w:szCs w:val="20"/>
    </w:rPr>
  </w:style>
  <w:style w:type="paragraph" w:styleId="Footer">
    <w:name w:val="footer"/>
    <w:basedOn w:val="Normal"/>
    <w:link w:val="FooterChar"/>
    <w:uiPriority w:val="99"/>
    <w:unhideWhenUsed/>
    <w:rsid w:val="003939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398D"/>
  </w:style>
  <w:style w:type="character" w:styleId="PageNumber">
    <w:name w:val="page number"/>
    <w:basedOn w:val="DefaultParagraphFont"/>
    <w:uiPriority w:val="99"/>
    <w:semiHidden/>
    <w:unhideWhenUsed/>
    <w:rsid w:val="003939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370</Words>
  <Characters>2115</Characters>
  <Application>Microsoft Office Word</Application>
  <DocSecurity>0</DocSecurity>
  <Lines>17</Lines>
  <Paragraphs>4</Paragraphs>
  <ScaleCrop>false</ScaleCrop>
  <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Arrieta</dc:creator>
  <cp:keywords/>
  <dc:description/>
  <cp:lastModifiedBy>Author</cp:lastModifiedBy>
  <cp:revision>4</cp:revision>
  <dcterms:created xsi:type="dcterms:W3CDTF">2024-07-19T18:19:00Z</dcterms:created>
  <dcterms:modified xsi:type="dcterms:W3CDTF">2024-08-08T07:07:00Z</dcterms:modified>
</cp:coreProperties>
</file>